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nl-NL"/>
        </w:rPr>
        <w:t>Privacyverklaring OEM-tabletstuurprogramma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nl-NL"/>
        </w:rPr>
        <w:t xml:space="preserve">Deze Privacyverklaring betreft de verwerking van persoonsgegevens via de OEM-tabletstuurprogramma-software die wordt geleverd door Wacom Co., Ltd. diens dochterondernemingen (tezamen "Wacom Group") en diens OEM-klanten en is van toepassing op uw gebruik van het OEM-tabletstuurprogramma. Deze OEM-privacyverklaring maakt deel uit van het </w:t>
      </w:r>
      <w:hyperlink r:id="rId6" w:history="1">
        <w:r>
          <w:rPr>
            <w:lang w:val="nl-NL"/>
          </w:rPr>
          <w:t>Privacybeleid van Wacom</w:t>
        </w:r>
      </w:hyperlink>
      <w:r>
        <w:rPr>
          <w:lang w:val="nl-NL"/>
        </w:rPr>
        <w:t xml:space="preserve"> (</w:t>
      </w:r>
      <w:hyperlink r:id="rId7" w:history="1">
        <w:r>
          <w:rPr>
            <w:rStyle w:val="Hyperlink"/>
            <w:lang w:val="nl-NL"/>
          </w:rPr>
          <w:t>https://www.wacom.com/privacy</w:t>
        </w:r>
      </w:hyperlink>
      <w:r>
        <w:rPr>
          <w:lang w:val="nl-NL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nl-NL"/>
        </w:rPr>
        <w:t>1.</w:t>
      </w:r>
      <w:r>
        <w:rPr>
          <w:lang w:val="nl-NL"/>
        </w:rPr>
        <w:tab/>
        <w:t>Definities</w:t>
      </w:r>
    </w:p>
    <w:p w14:paraId="60FBF1B0" w14:textId="77777777" w:rsidR="00457970" w:rsidRPr="00AB330E" w:rsidRDefault="00457970" w:rsidP="00457970">
      <w:r>
        <w:rPr>
          <w:lang w:val="nl-NL"/>
        </w:rPr>
        <w:tab/>
        <w:t>1.1.</w:t>
      </w:r>
      <w:r>
        <w:rPr>
          <w:lang w:val="nl-NL"/>
        </w:rPr>
        <w:tab/>
        <w:t xml:space="preserve">Onder "persoonsgegevens" wordt verstaan alle informatie waartoe wij - afzonderlijk of in combinatie met andere informatie - toegang hebben en die betrekking heeft op u als een geïdentificeerde of identificeerbare persoon. </w:t>
      </w:r>
    </w:p>
    <w:p w14:paraId="3C73D59D" w14:textId="77777777" w:rsidR="00457970" w:rsidRPr="00AB330E" w:rsidRDefault="00457970" w:rsidP="00457970">
      <w:r>
        <w:rPr>
          <w:lang w:val="nl-NL"/>
        </w:rPr>
        <w:tab/>
        <w:t>1.2.</w:t>
      </w:r>
      <w:r>
        <w:rPr>
          <w:lang w:val="nl-NL"/>
        </w:rPr>
        <w:tab/>
        <w:t>Onder „gebruiker”, "u" of "uw" wordt verstaan de persoon die het OEM-tabletstuurprogramma gebruikt.</w:t>
      </w:r>
      <w:r>
        <w:rPr>
          <w:lang w:val="nl-NL"/>
        </w:rPr>
        <w:tab/>
      </w:r>
    </w:p>
    <w:p w14:paraId="42D6B85C" w14:textId="77777777" w:rsidR="00457970" w:rsidRPr="00AB330E" w:rsidRDefault="00457970" w:rsidP="00457970">
      <w:r>
        <w:rPr>
          <w:lang w:val="nl-NL"/>
        </w:rPr>
        <w:tab/>
        <w:t>1.3.</w:t>
      </w:r>
      <w:r>
        <w:rPr>
          <w:lang w:val="nl-NL"/>
        </w:rPr>
        <w:tab/>
        <w:t xml:space="preserve">"Wacom", "wij", "onze" of "ons" verwijst naar de onderneming binnen de Wacom Group omschreven in het </w:t>
      </w:r>
      <w:hyperlink r:id="rId8" w:history="1">
        <w:r>
          <w:rPr>
            <w:lang w:val="nl-NL"/>
          </w:rPr>
          <w:t>Privacybeleid van Wacom</w:t>
        </w:r>
      </w:hyperlink>
      <w:r>
        <w:rPr>
          <w:lang w:val="nl-NL"/>
        </w:rPr>
        <w:t>, die verantwoordelijk is voor de verwerking van uw persoonsgegevens of niet-persoonlijke gegevens die wij ontvangen in verband met uw gebruik van het OEM-tabletstuurprogramma. De lijst van bedrijven van de Wacom Group is te vinden op</w:t>
      </w:r>
    </w:p>
    <w:p w14:paraId="426B7079" w14:textId="77777777" w:rsidR="00457970" w:rsidRPr="00AB330E" w:rsidRDefault="00457970" w:rsidP="00457970">
      <w:r>
        <w:rPr>
          <w:lang w:val="nl-NL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nl-NL"/>
        </w:rPr>
        <w:tab/>
        <w:t>1.4</w:t>
      </w:r>
      <w:r>
        <w:rPr>
          <w:lang w:val="nl-NL"/>
        </w:rPr>
        <w:tab/>
        <w:t>"OEM-klant" betekent een bedrijf dat Wacom-technologie en OEM-tabletstuurprogramma-software koopt en/of daar een licentie voor heeft om deze te integreren met haar OEM-apparaten en te distribueren aan haar klanten ("gebruikers").</w:t>
      </w:r>
    </w:p>
    <w:p w14:paraId="149A3B3A" w14:textId="588C355E" w:rsidR="00457970" w:rsidRDefault="00457970" w:rsidP="00584F09">
      <w:pPr>
        <w:ind w:firstLine="720"/>
      </w:pPr>
      <w:r>
        <w:rPr>
          <w:lang w:val="nl-NL"/>
        </w:rPr>
        <w:t>1.5</w:t>
      </w:r>
      <w:r>
        <w:rPr>
          <w:lang w:val="nl-NL"/>
        </w:rPr>
        <w:tab/>
        <w:t>Onder "OEM-tabletstuurprogramma" wordt verstaan de verschillende softwarecomponenten die de Wacom-tabletcomponenten van uw OEM-apparaat ondersteunen en waarmee u instellingen kunt aanpassen en toegang hebt tot andere relevante informatie.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nl-NL"/>
        </w:rPr>
        <w:t>2.</w:t>
      </w:r>
      <w:r>
        <w:rPr>
          <w:lang w:val="nl-NL"/>
        </w:rPr>
        <w:tab/>
        <w:t>Internetlinks die worden aangeboden door het OEM-tabletstuurprogramma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nl-NL"/>
        </w:rPr>
        <w:t>2.1</w:t>
      </w:r>
      <w:r>
        <w:rPr>
          <w:lang w:val="nl-NL"/>
        </w:rPr>
        <w:tab/>
        <w:t>Het OEM-tabletstuurprogramma kan links bevatten naar de website van Wacom, de website van de OEM-klant en websites van derden voor informatieve en trainingsdoeleinden. Gebruik van die links is facultatief en niet van invloed op het functioneren van uw OEM-tabletstuurprogramma of Wacom-product.</w:t>
      </w:r>
      <w:bookmarkStart w:id="0" w:name="_Hlk53065557"/>
      <w:r>
        <w:rPr>
          <w:lang w:val="nl-NL"/>
        </w:rPr>
        <w:t xml:space="preserve"> Als u op deze links klikt en deze websites bezoekt, is het desbetreffende privacybeleid van die websites van toepassing op de interactie met deze websites.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nl-NL"/>
        </w:rPr>
        <w:t>2.2</w:t>
      </w:r>
      <w:r>
        <w:rPr>
          <w:lang w:val="nl-NL"/>
        </w:rPr>
        <w:tab/>
        <w:t>Updates voor stuurprogramma's en andere informatie over het OEM-tabletstuurprogramma zijn mogelijk beschikbaar op de website van Wacom, de websites van de OEM-klanten en andere websites van derden. Het bezoeken van de sites is facultatief. Als u deze websites bezoekt, is het desbetreffende privacybeleid van die websites van toepassing op de interactie met deze websites.</w:t>
      </w:r>
    </w:p>
    <w:p w14:paraId="29F9DEE1" w14:textId="77777777" w:rsidR="00457970" w:rsidRPr="00AB330E" w:rsidRDefault="00457970" w:rsidP="00457970">
      <w:r>
        <w:rPr>
          <w:lang w:val="nl-NL"/>
        </w:rPr>
        <w:lastRenderedPageBreak/>
        <w:t>3.</w:t>
      </w:r>
      <w:r>
        <w:rPr>
          <w:lang w:val="nl-NL"/>
        </w:rPr>
        <w:tab/>
        <w:t>Gebruiksanalyse OEM-tabletstuurprogramma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nl-NL"/>
        </w:rPr>
        <w:t>Het OEM-tabletstuurprogramma verzamelt of deelt geen persoonsgegevens of andere gegevens van uw apparaat met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nl-NL"/>
        </w:rPr>
        <w:t>4.</w:t>
      </w:r>
      <w:r>
        <w:rPr>
          <w:lang w:val="nl-NL"/>
        </w:rPr>
        <w:tab/>
        <w:t>Wijzigingen en updates van deze privacyverklaring</w:t>
      </w:r>
    </w:p>
    <w:p w14:paraId="0D8E2F9D" w14:textId="77777777" w:rsidR="00584F09" w:rsidRPr="00AB330E" w:rsidRDefault="00584F09" w:rsidP="00584F09">
      <w:r>
        <w:rPr>
          <w:lang w:val="nl-NL"/>
        </w:rPr>
        <w:t>Deze privacyverklaring kan periodiek gewijzigd worden. Wijzigingen worden van kracht zodra ze gepubliceerd zijn door Wacom en via het OEM-tabletstuurprogramma beschikbaar worden gesteld.</w:t>
      </w:r>
    </w:p>
    <w:p w14:paraId="22C55AA0" w14:textId="77777777" w:rsidR="00584F09" w:rsidRPr="00AB330E" w:rsidRDefault="00584F09" w:rsidP="00584F09">
      <w:r>
        <w:rPr>
          <w:lang w:val="nl-NL"/>
        </w:rPr>
        <w:t>Einde.</w:t>
      </w:r>
    </w:p>
    <w:p w14:paraId="08328123" w14:textId="77777777" w:rsidR="00584F09" w:rsidRPr="00AB330E" w:rsidRDefault="00584F09" w:rsidP="00584F09"/>
    <w:p w14:paraId="1490BEBF" w14:textId="1854C997" w:rsidR="00584F09" w:rsidRDefault="00584F09" w:rsidP="00584F09">
      <w:r>
        <w:rPr>
          <w:lang w:val="nl-NL"/>
        </w:rPr>
        <w:t>© 202</w:t>
      </w:r>
      <w:r w:rsidR="00450596">
        <w:rPr>
          <w:lang w:val="nl-NL"/>
        </w:rPr>
        <w:t>3</w:t>
      </w:r>
      <w:r>
        <w:rPr>
          <w:lang w:val="nl-NL"/>
        </w:rPr>
        <w:t xml:space="preserve"> Wacom Co., Ltd. Alle rechten voorbehouden.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0596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505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2023-01-19T17:50:00Z</dcterms:modified>
</cp:coreProperties>
</file>